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F05" w:rsidRPr="00274E0F" w:rsidRDefault="00274E0F" w:rsidP="003772FE">
      <w:pPr>
        <w:pStyle w:val="Corpo"/>
        <w:spacing w:after="240"/>
        <w:ind w:left="710"/>
        <w:jc w:val="center"/>
        <w:rPr>
          <w:rFonts w:asciiTheme="minorHAnsi" w:hAnsiTheme="minorHAnsi" w:cs="Arial"/>
          <w:b/>
          <w:color w:val="auto"/>
          <w:szCs w:val="24"/>
          <w:lang w:val="pt-BR"/>
        </w:rPr>
      </w:pPr>
      <w:r w:rsidRPr="00274E0F">
        <w:rPr>
          <w:rFonts w:asciiTheme="minorHAnsi" w:hAnsiTheme="minorHAnsi" w:cs="Arial"/>
          <w:b/>
          <w:color w:val="auto"/>
          <w:szCs w:val="24"/>
          <w:lang w:val="pt-BR"/>
        </w:rPr>
        <w:t>ANEXO VII</w:t>
      </w:r>
    </w:p>
    <w:p w:rsidR="003772FE" w:rsidRPr="00274E0F" w:rsidRDefault="003772FE" w:rsidP="003772FE">
      <w:pPr>
        <w:pStyle w:val="Corpo"/>
        <w:spacing w:after="240"/>
        <w:ind w:left="710"/>
        <w:jc w:val="center"/>
        <w:rPr>
          <w:rFonts w:asciiTheme="minorHAnsi" w:hAnsiTheme="minorHAnsi" w:cs="Arial"/>
          <w:b/>
          <w:color w:val="auto"/>
          <w:szCs w:val="24"/>
          <w:lang w:val="pt-BR"/>
        </w:rPr>
      </w:pPr>
      <w:r w:rsidRPr="00274E0F">
        <w:rPr>
          <w:rFonts w:asciiTheme="minorHAnsi" w:hAnsiTheme="minorHAnsi" w:cs="Arial"/>
          <w:b/>
          <w:color w:val="auto"/>
          <w:szCs w:val="24"/>
          <w:lang w:val="pt-BR"/>
        </w:rPr>
        <w:t>CONTA VINCULADA PA</w:t>
      </w:r>
      <w:bookmarkStart w:id="0" w:name="_GoBack"/>
      <w:bookmarkEnd w:id="0"/>
      <w:r w:rsidRPr="00274E0F">
        <w:rPr>
          <w:rFonts w:asciiTheme="minorHAnsi" w:hAnsiTheme="minorHAnsi" w:cs="Arial"/>
          <w:b/>
          <w:color w:val="auto"/>
          <w:szCs w:val="24"/>
          <w:lang w:val="pt-BR"/>
        </w:rPr>
        <w:t>RA A QUITAÇÃO DE OBRIGAÇÕES TRABALHISTAS</w:t>
      </w:r>
    </w:p>
    <w:p w:rsidR="003772FE" w:rsidRDefault="003772FE" w:rsidP="003772FE">
      <w:pPr>
        <w:pStyle w:val="Normal1"/>
        <w:tabs>
          <w:tab w:val="left" w:pos="551"/>
          <w:tab w:val="center" w:pos="4677"/>
        </w:tabs>
        <w:spacing w:before="120" w:after="120"/>
        <w:jc w:val="center"/>
        <w:rPr>
          <w:color w:val="auto"/>
          <w:sz w:val="22"/>
          <w:szCs w:val="22"/>
        </w:rPr>
      </w:pPr>
    </w:p>
    <w:p w:rsidR="003772FE" w:rsidRDefault="003772FE" w:rsidP="003772FE">
      <w:pPr>
        <w:pStyle w:val="Normal1"/>
        <w:tabs>
          <w:tab w:val="left" w:pos="551"/>
          <w:tab w:val="center" w:pos="4677"/>
        </w:tabs>
        <w:spacing w:before="120" w:after="12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EM CONFORMIDADE COM O ANEXO VII  DA IN 03 DE DEZEMBRO DE 2014.</w:t>
      </w:r>
    </w:p>
    <w:p w:rsidR="003772FE" w:rsidRDefault="003772FE" w:rsidP="003772FE">
      <w:pPr>
        <w:pStyle w:val="Normal1"/>
        <w:spacing w:before="120" w:after="120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PREGÃO ELETRÔNICO Nº </w:t>
      </w:r>
      <w:r w:rsidR="007C6B03">
        <w:rPr>
          <w:color w:val="auto"/>
          <w:sz w:val="22"/>
          <w:szCs w:val="22"/>
        </w:rPr>
        <w:t>0</w:t>
      </w:r>
      <w:r w:rsidR="005A09AB">
        <w:rPr>
          <w:color w:val="auto"/>
          <w:sz w:val="22"/>
          <w:szCs w:val="22"/>
        </w:rPr>
        <w:t>7</w:t>
      </w:r>
      <w:r>
        <w:rPr>
          <w:color w:val="auto"/>
          <w:sz w:val="22"/>
          <w:szCs w:val="22"/>
        </w:rPr>
        <w:t>/201</w:t>
      </w:r>
      <w:r w:rsidR="007C6B03">
        <w:rPr>
          <w:color w:val="auto"/>
          <w:sz w:val="22"/>
          <w:szCs w:val="22"/>
        </w:rPr>
        <w:t>6</w:t>
      </w:r>
    </w:p>
    <w:p w:rsidR="003772FE" w:rsidRDefault="003772FE" w:rsidP="003772FE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b/>
          <w:bCs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 xml:space="preserve"> </w:t>
      </w:r>
    </w:p>
    <w:p w:rsidR="00826FB7" w:rsidRPr="002852C6" w:rsidRDefault="00826FB7" w:rsidP="003772FE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(Redação dada pela Instrução Normativa nº 3, de 24 de junho de 2014</w:t>
      </w:r>
      <w:proofErr w:type="gramStart"/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)</w:t>
      </w:r>
      <w:proofErr w:type="gramEnd"/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 As provisões realizadas pela Administração contratante para o pagamento dos encargos trabalhistas de que trata este Anexo, em relação à mão de obra das empresas contratadas para prestar serviços de forma contínua, por meio de dedicação exclusiva de mão de obra, serão destacadas do valor mensal do contrato e serão depositados pela Administração em conta vinculada, doravante, denominada conta-depósito vinculada - bloqueada para movimentação, aberta em nome do prestador de serviço.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1.1 A movimentação da conta-depósito vinculada - bloqueada para movimentação dependerá de autorização do órgão ou entidade contratante e será feita exclusivamente para o pagamento das obrigações a seguir: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1.1.1 O montante dos depósitos da conta-depósito vinculada - bloqueada para movimentação será igual ao somatório dos valores das seguintes provisões: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                     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I - 13</w:t>
      </w:r>
      <w:r w:rsidRPr="002852C6">
        <w:rPr>
          <w:rFonts w:eastAsia="Times New Roman" w:cs="Arial"/>
          <w:color w:val="000000"/>
          <w:sz w:val="21"/>
          <w:szCs w:val="21"/>
          <w:vertAlign w:val="superscript"/>
          <w:lang w:eastAsia="pt-BR"/>
        </w:rPr>
        <w:t>o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(décimo terceiro) salário;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II - férias e um terço constitucional de férias;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                    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III - multa sobre o FGTS e contribuição social para as rescisões sem justa causa;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e</w:t>
      </w:r>
      <w:proofErr w:type="gramEnd"/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IV - encargos sobre férias e 13</w:t>
      </w:r>
      <w:r w:rsidRPr="002852C6">
        <w:rPr>
          <w:rFonts w:eastAsia="Times New Roman" w:cs="Arial"/>
          <w:color w:val="000000"/>
          <w:sz w:val="21"/>
          <w:szCs w:val="21"/>
          <w:vertAlign w:val="superscript"/>
          <w:lang w:eastAsia="pt-BR"/>
        </w:rPr>
        <w:t>o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(décimo terceiro) salário.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1.2 O órgão ou entidade contratante deverá firmar </w:t>
      </w:r>
      <w:r w:rsidRPr="00707E77">
        <w:rPr>
          <w:rFonts w:eastAsia="Times New Roman" w:cs="Arial"/>
          <w:color w:val="000000"/>
          <w:sz w:val="21"/>
          <w:szCs w:val="21"/>
          <w:highlight w:val="yellow"/>
          <w:lang w:eastAsia="pt-BR"/>
        </w:rPr>
        <w:t xml:space="preserve">Termo de Cooperação Técnica com Instituição Financeira, cuja minuta se constituirá </w:t>
      </w:r>
      <w:proofErr w:type="gramStart"/>
      <w:r w:rsidRPr="00707E77">
        <w:rPr>
          <w:rFonts w:eastAsia="Times New Roman" w:cs="Arial"/>
          <w:color w:val="000000"/>
          <w:sz w:val="21"/>
          <w:szCs w:val="21"/>
          <w:highlight w:val="yellow"/>
          <w:lang w:eastAsia="pt-BR"/>
        </w:rPr>
        <w:t>anexo do Edital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, o qual determinará os termos para a abertura da conta-depósito vinculada - bloqueada para movimentação e as condições de sua movimentação.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1.3 O Termo de Cooperação Técnica poderá ser ajustado às peculiaridades dos serviços, objeto do Contrato Administrativo, e/ou aos procedimentos internos da Instituição Financeira, nos termos deste Anexo.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2. A assinatura do contrato de prestação de serviços entre o órgão ou entidade contratante e a empresa vencedora do certame será precedida dos seguintes atos: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lastRenderedPageBreak/>
        <w:t xml:space="preserve">2.1.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solicitação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do órgão ou entidade contratante, mediante oficio, de abertura da conta-depósito vinculada-bloqueada para movimentação, conforme disposto no item 1;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2.2.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assinatura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, pela empresa a ser contratada, no ato da regularização da conta-depósito vinculada - bloqueada para movimentação, de termo de autorização que permita ao órgão ou entidade contratante ter acesso aos saldos e aos extratos, e que vincule a movimentação dos valores depositados mediante autorização do órgão contratante, nos termos  do Anexo IX desta Instrução Normativa.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3. O saldo da conta-depósito vinculada - bloqueada para movimentação será remunerado pelo índice de correção da poupança </w:t>
      </w:r>
      <w:proofErr w:type="gramStart"/>
      <w:r w:rsidRPr="002852C6">
        <w:rPr>
          <w:rFonts w:eastAsia="Times New Roman" w:cs="Arial"/>
          <w:i/>
          <w:iCs/>
          <w:color w:val="000000"/>
          <w:sz w:val="21"/>
          <w:szCs w:val="21"/>
          <w:lang w:eastAsia="pt-BR"/>
        </w:rPr>
        <w:t>pro rata</w:t>
      </w:r>
      <w:proofErr w:type="gramEnd"/>
      <w:r w:rsidRPr="002852C6">
        <w:rPr>
          <w:rFonts w:eastAsia="Times New Roman" w:cs="Arial"/>
          <w:i/>
          <w:iCs/>
          <w:color w:val="000000"/>
          <w:sz w:val="21"/>
          <w:szCs w:val="21"/>
          <w:lang w:eastAsia="pt-BR"/>
        </w:rPr>
        <w:t xml:space="preserve"> die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, conforme definido no respectivo Termo de Cooperação Técnica.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3.1 Eventual alteração da forma de correção da poupança prevista no item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3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deste Anexo implicará a revisão do Termo de Cooperação Técnica.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4. Os valores referentes às provisões de encargos trabalhistas mencionados no subitem 1.1.1, retidos por meio da conta-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depósito vinculada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- bloqueada para movimentação, deixarão de compor o valor mensal a ser pago diretamente à empresa.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5. Os editais deverão conter expressamente as regras previstas neste Anexo e documento de autorização para a criação da conta-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depósito vinculada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- bloqueada para movimentação,  que deverá ser assinado pela contratada, nos termos do art. 19-A desta Instrução Normativa.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6. Os órgãos ou entidades da Administração Pública Federal poderão negociar com a Instituição Financeira, caso haja cobrança de tarifas bancárias, a isenção ou redução das referidas tarifas para abertura e movimentação da conta-depósito vinculada – bloqueada para movimentação.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7. Os editais deverão informar aos proponentes que, em caso de cobrança de tarifa bancária para operacionalização da conta-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depósito vinculada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- bloqueada para movimentação, os recursos atinentes a essas despesas serão debitados dos valores depositados.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7.1 Os recursos atinentes à cobrança de tarifa bancária para operacionalização da conta-depósito vinculada – bloqueada para movimentação poderão ser previstos na proposta da licitante.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7.2 Os editais deverão informar o valor total/global ou estimado das tarifas bancárias de modo que tal parcela possa constar da planilha apresentada pelos proponentes.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8. A empresa contratada poderá solicitar a autorização do órgão ou entidade contratante para utilizar os valores da conta-depósito vinculada - bloqueada para movimentação para o pagamento dos encargos trabalhistas previstos neste Anexo ou de eventuais indenizações trabalhistas aos empregados, decorrentes de situações ocorridas durante a vigência do contrato.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8.1 Para a liberação dos recursos em conta-depósito vinculada - bloqueada para movimentação para o pagamento dos encargos trabalhistas ou de eventuais indenizações trabalhistas aos empregados, decorrentes de situações ocorridas durante a vigência do contrato, a empresa deverá 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lastRenderedPageBreak/>
        <w:t>apresentar ao órgão ou entidade contratante os documentos comprobatórios da ocorrência das obrigações trabalhistas e seus respectivos prazos de vencimento.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8.2 Após a confirmação da ocorrência da situação que ensejou o pagamento dos encargos trabalhistas ou de eventual indenização trabalhista e a conferência dos cálculos, o órgão ou entidade contratante expedirá a autorização para a movimentação dos recursos creditados em conta-depósito vinculada - bloqueada para movimentação e a encaminhará à Instituição Financeira no prazo máximo de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5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(cinco) dias úteis, a contar da data da apresentação dos documentos comprobatórios pela empresa.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8.3 A autorização de que trata o item 8.2 deverá especificar que a movimentação será exclusiva para o pagamento dos encargos trabalhistas ou de eventual indenização trabalhista aos trabalhadores favorecidos.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9. A empresa deverá apresentar ao órgão ou entidade contratante, no prazo máximo de </w:t>
      </w:r>
      <w:proofErr w:type="gramStart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3</w:t>
      </w:r>
      <w:proofErr w:type="gramEnd"/>
      <w:r w:rsidRPr="002852C6">
        <w:rPr>
          <w:rFonts w:eastAsia="Times New Roman" w:cs="Arial"/>
          <w:color w:val="000000"/>
          <w:sz w:val="21"/>
          <w:szCs w:val="21"/>
          <w:lang w:eastAsia="pt-BR"/>
        </w:rPr>
        <w:t xml:space="preserve"> (três) dias úteis, contados da movimentação, o comprovante das transferências bancárias realizadas para a quitação das obrigações trabalhistas.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10. O saldo remanescente dos recursos depositados na conta-depósito vinculada - bloqueada para movimentação será liberado à empresa no momento do encerramento do contrato, na presença do sindicato da categoria correspondente aos serviços contratados, após a comprovação da quitação de todos os encargos trabalhistas e previdenciários relativos ao serviço contratado.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11.  A Administração poderá utilizar como referência para fins de provisão dos encargos sociais e trabalhistas o modelo de Planilha disponível no Portal de Compras do Governo Federal (Compras Governamentais), devendo adaptá-lo às especificidades dos serviços a ser contratados.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12. Os valores provisionados para atendimento do subitem 1.1.1 serão discriminados conforme tabela a seguir: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</w:t>
      </w:r>
    </w:p>
    <w:p w:rsidR="00826FB7" w:rsidRDefault="00826FB7" w:rsidP="00826FB7">
      <w:pPr>
        <w:rPr>
          <w:rFonts w:eastAsia="Times New Roman" w:cs="Arial"/>
          <w:b/>
          <w:bCs/>
          <w:color w:val="000000"/>
          <w:sz w:val="21"/>
          <w:szCs w:val="21"/>
          <w:lang w:eastAsia="pt-BR"/>
        </w:rPr>
      </w:pPr>
      <w:r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br w:type="page"/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lastRenderedPageBreak/>
        <w:t>RESERVA MENSAL PARA O PAGAMENTO DE ENCARGOS TRABALHISTAS</w:t>
      </w:r>
    </w:p>
    <w:p w:rsidR="00826FB7" w:rsidRPr="002852C6" w:rsidRDefault="00826FB7" w:rsidP="00826FB7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b/>
          <w:bCs/>
          <w:color w:val="000000"/>
          <w:sz w:val="21"/>
          <w:szCs w:val="21"/>
          <w:lang w:eastAsia="pt-BR"/>
        </w:rPr>
        <w:t>PERCENTUAIS INCIDENTES SOBRE A REMUNERAÇÃO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38"/>
        <w:gridCol w:w="1920"/>
        <w:gridCol w:w="1829"/>
        <w:gridCol w:w="1897"/>
      </w:tblGrid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ITEM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13</w:t>
            </w:r>
            <w:r w:rsidRPr="002852C6">
              <w:rPr>
                <w:rFonts w:eastAsia="Times New Roman" w:cs="Times New Roman"/>
                <w:sz w:val="21"/>
                <w:szCs w:val="21"/>
                <w:vertAlign w:val="superscript"/>
                <w:lang w:eastAsia="pt-BR"/>
              </w:rPr>
              <w:t>o</w:t>
            </w: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 (décimo terceiro) salário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8,33%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oito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trinta e três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Férias e 1/3 Constitucional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12,10%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doze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dez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Multa sobre FGTS e contribuição social sobre o aviso prévio indenizado e sobre o aviso prévio trabalhado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826FB7" w:rsidRPr="002852C6" w:rsidRDefault="00826FB7" w:rsidP="005F420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5,00 % (cinco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Subtotal</w:t>
            </w:r>
          </w:p>
        </w:tc>
        <w:tc>
          <w:tcPr>
            <w:tcW w:w="0" w:type="auto"/>
            <w:gridSpan w:val="3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25,43%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vinte e cinco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quarenta e três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Incidência do </w:t>
            </w:r>
            <w:proofErr w:type="spell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Submódulo</w:t>
            </w:r>
            <w:proofErr w:type="spell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4.1 sobre férias, um terço constitucional de férias e 13</w:t>
            </w:r>
            <w:r w:rsidRPr="002852C6">
              <w:rPr>
                <w:rFonts w:eastAsia="Times New Roman" w:cs="Times New Roman"/>
                <w:sz w:val="21"/>
                <w:szCs w:val="21"/>
                <w:vertAlign w:val="superscript"/>
                <w:lang w:eastAsia="pt-BR"/>
              </w:rPr>
              <w:t>o</w:t>
            </w: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(décimo terceiro) salário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*</w:t>
            </w:r>
            <w:proofErr w:type="gramEnd"/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7,39%</w:t>
            </w:r>
          </w:p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sete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trinta e nove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7,60%</w:t>
            </w:r>
          </w:p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sete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seis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7,82%</w:t>
            </w:r>
          </w:p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sete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oitenta e dois por cento)</w:t>
            </w:r>
          </w:p>
        </w:tc>
      </w:tr>
      <w:tr w:rsidR="00826FB7" w:rsidRPr="002852C6" w:rsidTr="005F4205"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826FB7" w:rsidRPr="002852C6" w:rsidRDefault="00826FB7" w:rsidP="005F4205">
            <w:pPr>
              <w:spacing w:after="0" w:line="240" w:lineRule="auto"/>
              <w:jc w:val="center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Total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32,82%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trinta e dois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oitenta e dois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33,03%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trinta e três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zero três por cento)</w:t>
            </w:r>
          </w:p>
        </w:tc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hideMark/>
          </w:tcPr>
          <w:p w:rsidR="00826FB7" w:rsidRPr="002852C6" w:rsidRDefault="00826FB7" w:rsidP="005F4205">
            <w:pPr>
              <w:spacing w:after="0" w:line="240" w:lineRule="auto"/>
              <w:jc w:val="both"/>
              <w:textAlignment w:val="baseline"/>
              <w:rPr>
                <w:rFonts w:eastAsia="Times New Roman" w:cs="Times New Roman"/>
                <w:sz w:val="21"/>
                <w:szCs w:val="21"/>
                <w:lang w:eastAsia="pt-BR"/>
              </w:rPr>
            </w:pPr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33,25% (</w:t>
            </w:r>
            <w:proofErr w:type="gramStart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>trinta e três vírgula</w:t>
            </w:r>
            <w:proofErr w:type="gramEnd"/>
            <w:r w:rsidRPr="002852C6">
              <w:rPr>
                <w:rFonts w:eastAsia="Times New Roman" w:cs="Times New Roman"/>
                <w:sz w:val="21"/>
                <w:szCs w:val="21"/>
                <w:lang w:eastAsia="pt-BR"/>
              </w:rPr>
              <w:t xml:space="preserve"> vinte e cinco por cento)</w:t>
            </w:r>
          </w:p>
        </w:tc>
      </w:tr>
    </w:tbl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* Considerando as alíquotas de contribuição de 1% (um por cento), 2% (dois por cento) ou 3% (três por cento) referentes ao grau de risco de acidente do trabalho, previstas no art. 22, inciso II, da Lei n</w:t>
      </w:r>
      <w:r w:rsidRPr="002852C6">
        <w:rPr>
          <w:rFonts w:eastAsia="Times New Roman" w:cs="Arial"/>
          <w:color w:val="000000"/>
          <w:sz w:val="21"/>
          <w:szCs w:val="21"/>
          <w:vertAlign w:val="superscript"/>
          <w:lang w:eastAsia="pt-BR"/>
        </w:rPr>
        <w:t>o</w:t>
      </w:r>
      <w:r w:rsidRPr="002852C6">
        <w:rPr>
          <w:rFonts w:eastAsia="Times New Roman" w:cs="Arial"/>
          <w:color w:val="000000"/>
          <w:sz w:val="21"/>
          <w:szCs w:val="21"/>
          <w:lang w:eastAsia="pt-BR"/>
        </w:rPr>
        <w:t> 8.212, de 24 de julho de 1991.</w:t>
      </w:r>
    </w:p>
    <w:p w:rsidR="00826FB7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  <w:lang w:eastAsia="pt-BR"/>
        </w:rPr>
      </w:pPr>
    </w:p>
    <w:p w:rsidR="00826FB7" w:rsidRPr="002852C6" w:rsidRDefault="00826FB7" w:rsidP="00826FB7">
      <w:pPr>
        <w:shd w:val="clear" w:color="auto" w:fill="FFFFFF"/>
        <w:spacing w:after="0" w:line="240" w:lineRule="auto"/>
        <w:jc w:val="both"/>
        <w:textAlignment w:val="baseline"/>
        <w:rPr>
          <w:rFonts w:eastAsia="Times New Roman" w:cs="Arial"/>
          <w:color w:val="000000"/>
          <w:sz w:val="21"/>
          <w:szCs w:val="21"/>
          <w:lang w:eastAsia="pt-BR"/>
        </w:rPr>
      </w:pPr>
    </w:p>
    <w:p w:rsidR="008A3526" w:rsidRPr="00826FB7" w:rsidRDefault="008A3526">
      <w:pPr>
        <w:rPr>
          <w:rFonts w:eastAsia="Times New Roman" w:cs="Arial"/>
          <w:color w:val="231F20"/>
          <w:sz w:val="19"/>
          <w:szCs w:val="19"/>
          <w:lang w:eastAsia="pt-BR"/>
        </w:rPr>
      </w:pPr>
    </w:p>
    <w:sectPr w:rsidR="008A3526" w:rsidRPr="00826F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8E8" w:rsidRDefault="005D48E8" w:rsidP="005D48E8">
      <w:pPr>
        <w:spacing w:after="0" w:line="240" w:lineRule="auto"/>
      </w:pPr>
      <w:r>
        <w:separator/>
      </w:r>
    </w:p>
  </w:endnote>
  <w:endnote w:type="continuationSeparator" w:id="0">
    <w:p w:rsidR="005D48E8" w:rsidRDefault="005D48E8" w:rsidP="005D4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AB" w:rsidRDefault="005A09A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AB" w:rsidRDefault="005A09AB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AB" w:rsidRDefault="005A09A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8E8" w:rsidRDefault="005D48E8" w:rsidP="005D48E8">
      <w:pPr>
        <w:spacing w:after="0" w:line="240" w:lineRule="auto"/>
      </w:pPr>
      <w:r>
        <w:separator/>
      </w:r>
    </w:p>
  </w:footnote>
  <w:footnote w:type="continuationSeparator" w:id="0">
    <w:p w:rsidR="005D48E8" w:rsidRDefault="005D48E8" w:rsidP="005D4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AB" w:rsidRDefault="005A09A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E8" w:rsidRDefault="005D48E8" w:rsidP="005D48E8">
    <w:pPr>
      <w:pStyle w:val="Cabealho"/>
      <w:jc w:val="center"/>
      <w:rPr>
        <w:rFonts w:ascii="Arial" w:hAnsi="Arial" w:cs="Arial"/>
        <w:color w:val="00FF00"/>
      </w:rPr>
    </w:pPr>
    <w:r>
      <w:rPr>
        <w:noProof/>
        <w:lang w:eastAsia="pt-BR"/>
      </w:rPr>
      <w:drawing>
        <wp:anchor distT="0" distB="0" distL="114300" distR="114300" simplePos="0" relativeHeight="251660288" behindDoc="1" locked="0" layoutInCell="1" allowOverlap="1" wp14:anchorId="5C898BDB" wp14:editId="23C743E0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D48E8" w:rsidRDefault="005D48E8" w:rsidP="005D48E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D48E8" w:rsidRDefault="005D48E8" w:rsidP="005D48E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D48E8" w:rsidRDefault="005D48E8" w:rsidP="005D48E8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5D48E8" w:rsidRPr="00550118" w:rsidRDefault="005D48E8" w:rsidP="005D48E8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5D48E8" w:rsidRPr="00550118" w:rsidRDefault="00152B4E" w:rsidP="005D48E8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>
      <w:rPr>
        <w:rFonts w:asciiTheme="minorHAnsi" w:hAnsiTheme="minorHAnsi" w:cs="Arial"/>
        <w:bCs/>
        <w:color w:val="000000" w:themeColor="text1"/>
      </w:rPr>
      <w:t>POLÍ</w:t>
    </w:r>
    <w:r w:rsidR="005D48E8" w:rsidRPr="00550118">
      <w:rPr>
        <w:rFonts w:asciiTheme="minorHAnsi" w:hAnsiTheme="minorHAnsi" w:cs="Arial"/>
        <w:bCs/>
        <w:color w:val="000000" w:themeColor="text1"/>
      </w:rPr>
      <w:t>CIA FEDERAL</w:t>
    </w:r>
  </w:p>
  <w:p w:rsidR="005D48E8" w:rsidRPr="00550118" w:rsidRDefault="005D48E8" w:rsidP="005D48E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5D48E8" w:rsidRPr="00550118" w:rsidRDefault="005D48E8" w:rsidP="005D48E8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5D48E8" w:rsidRPr="00550118" w:rsidRDefault="005D48E8" w:rsidP="005D48E8">
    <w:pPr>
      <w:tabs>
        <w:tab w:val="left" w:pos="708"/>
        <w:tab w:val="left" w:pos="3740"/>
        <w:tab w:val="center" w:pos="4419"/>
        <w:tab w:val="right" w:pos="8838"/>
      </w:tabs>
      <w:spacing w:after="0" w:line="240" w:lineRule="auto"/>
      <w:jc w:val="center"/>
      <w:rPr>
        <w:rFonts w:eastAsia="SimSun" w:cs="Times New Roman"/>
        <w:b/>
        <w:bCs/>
        <w:kern w:val="3"/>
        <w:sz w:val="24"/>
        <w:szCs w:val="24"/>
        <w:lang w:eastAsia="zh-CN" w:bidi="hi-IN"/>
      </w:rPr>
    </w:pPr>
    <w:r w:rsidRPr="00550118">
      <w:rPr>
        <w:rFonts w:eastAsia="SimSun" w:cs="Times New Roman"/>
        <w:b/>
        <w:bCs/>
        <w:kern w:val="3"/>
        <w:sz w:val="24"/>
        <w:szCs w:val="24"/>
        <w:lang w:eastAsia="zh-CN" w:bidi="hi-IN"/>
      </w:rPr>
      <w:t>COMISSÃO PERMANENTE DE LICITAÇÃO</w:t>
    </w:r>
  </w:p>
  <w:p w:rsidR="005D48E8" w:rsidRDefault="005D48E8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9AB" w:rsidRDefault="005A09AB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FB7"/>
    <w:rsid w:val="00152B4E"/>
    <w:rsid w:val="002653E8"/>
    <w:rsid w:val="00274E0F"/>
    <w:rsid w:val="00287C76"/>
    <w:rsid w:val="0035636A"/>
    <w:rsid w:val="003772FE"/>
    <w:rsid w:val="005A09AB"/>
    <w:rsid w:val="005A1F05"/>
    <w:rsid w:val="005D48E8"/>
    <w:rsid w:val="00707E77"/>
    <w:rsid w:val="007C6B03"/>
    <w:rsid w:val="007D2B18"/>
    <w:rsid w:val="00826FB7"/>
    <w:rsid w:val="008A3526"/>
    <w:rsid w:val="00CE7CBC"/>
    <w:rsid w:val="00F5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FB7"/>
  </w:style>
  <w:style w:type="paragraph" w:styleId="Ttulo3">
    <w:name w:val="heading 3"/>
    <w:basedOn w:val="Normal"/>
    <w:next w:val="Normal"/>
    <w:link w:val="Ttulo3Char"/>
    <w:unhideWhenUsed/>
    <w:qFormat/>
    <w:rsid w:val="005D48E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D48E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D48E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">
    <w:name w:val="Corpo"/>
    <w:rsid w:val="003772F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ar-SA"/>
    </w:rPr>
  </w:style>
  <w:style w:type="paragraph" w:customStyle="1" w:styleId="Normal1">
    <w:name w:val="Normal1"/>
    <w:rsid w:val="003772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D48E8"/>
  </w:style>
  <w:style w:type="paragraph" w:styleId="Rodap">
    <w:name w:val="footer"/>
    <w:basedOn w:val="Normal"/>
    <w:link w:val="RodapChar"/>
    <w:uiPriority w:val="99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48E8"/>
  </w:style>
  <w:style w:type="character" w:customStyle="1" w:styleId="Ttulo3Char">
    <w:name w:val="Título 3 Char"/>
    <w:basedOn w:val="Fontepargpadro"/>
    <w:link w:val="Ttulo3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D48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6FB7"/>
  </w:style>
  <w:style w:type="paragraph" w:styleId="Ttulo3">
    <w:name w:val="heading 3"/>
    <w:basedOn w:val="Normal"/>
    <w:next w:val="Normal"/>
    <w:link w:val="Ttulo3Char"/>
    <w:unhideWhenUsed/>
    <w:qFormat/>
    <w:rsid w:val="005D48E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D48E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D48E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">
    <w:name w:val="Corpo"/>
    <w:rsid w:val="003772FE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 w:eastAsia="ar-SA"/>
    </w:rPr>
  </w:style>
  <w:style w:type="paragraph" w:customStyle="1" w:styleId="Normal1">
    <w:name w:val="Normal1"/>
    <w:rsid w:val="003772FE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styleId="Cabealho">
    <w:name w:val="header"/>
    <w:basedOn w:val="Normal"/>
    <w:link w:val="CabealhoChar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D48E8"/>
  </w:style>
  <w:style w:type="paragraph" w:styleId="Rodap">
    <w:name w:val="footer"/>
    <w:basedOn w:val="Normal"/>
    <w:link w:val="RodapChar"/>
    <w:uiPriority w:val="99"/>
    <w:unhideWhenUsed/>
    <w:rsid w:val="005D48E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D48E8"/>
  </w:style>
  <w:style w:type="character" w:customStyle="1" w:styleId="Ttulo3Char">
    <w:name w:val="Título 3 Char"/>
    <w:basedOn w:val="Fontepargpadro"/>
    <w:link w:val="Ttulo3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D48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D48E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1233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13</cp:revision>
  <dcterms:created xsi:type="dcterms:W3CDTF">2015-02-26T22:29:00Z</dcterms:created>
  <dcterms:modified xsi:type="dcterms:W3CDTF">2017-03-29T14:58:00Z</dcterms:modified>
</cp:coreProperties>
</file>